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bookmarkStart w:id="0" w:name="_GoBack"/>
      <w:bookmarkEnd w:id="0"/>
    </w:p>
    <w:p>
      <w:pPr>
        <w:ind w:left="7080"/>
        <w:rPr>
          <w:rFonts w:ascii="Verdana" w:hAnsi="Verdana"/>
          <w:highlight w:val="yellow"/>
        </w:rPr>
      </w:pPr>
    </w:p>
    <w:p>
      <w:pPr>
        <w:ind w:left="7080"/>
        <w:rPr>
          <w:rFonts w:ascii="Verdana" w:hAnsi="Verdana"/>
          <w:highlight w:val="yellow"/>
        </w:rPr>
      </w:pPr>
    </w:p>
    <w:p>
      <w:pPr>
        <w:jc w:val="right"/>
        <w:rPr>
          <w:rFonts w:ascii="Verdana" w:hAnsi="Verdana"/>
        </w:rPr>
      </w:pPr>
      <w:r>
        <w:rPr>
          <w:rFonts w:ascii="Verdana" w:hAnsi="Verdana"/>
        </w:rPr>
        <w:t>DATE : Le 12 NOVEMBRE 2020</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PREMIER APPEL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A CANDIDATURES A UNE FONCTION DE DIRECTEUR (H/F/X)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DANS UNE ECOLE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PRIMAIRE SPECIALISÉE</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ADMISSION AU STAGE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du P.O.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Wallonie-Bruxelles Enseignement (WBE)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pPr>
        <w:pBdr>
          <w:top w:val="single" w:sz="4" w:space="1" w:color="000000"/>
          <w:left w:val="single" w:sz="4" w:space="4" w:color="000000"/>
          <w:bottom w:val="single" w:sz="4" w:space="1" w:color="000000"/>
          <w:right w:val="single" w:sz="4" w:space="4" w:color="000000"/>
        </w:pBdr>
      </w:pPr>
      <w:r>
        <w:rPr>
          <w:rFonts w:ascii="Verdana" w:hAnsi="Verdana"/>
        </w:rPr>
        <w:t xml:space="preserve">Adresse électronique : </w:t>
      </w:r>
      <w:hyperlink r:id="rId9">
        <w:r>
          <w:rPr>
            <w:rStyle w:val="LienInternet"/>
            <w:rFonts w:ascii="Verdana" w:hAnsi="Verdana"/>
          </w:rPr>
          <w:t>selection.promotion(at)w-b-e.be</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Site web : </w:t>
      </w:r>
      <w:hyperlink r:id="rId10" w:history="1">
        <w:r>
          <w:rPr>
            <w:rStyle w:val="Lienhypertexte"/>
            <w:rFonts w:ascii="Verdana" w:hAnsi="Verdana"/>
          </w:rPr>
          <w:t>https://www.w-b-e.be/</w:t>
        </w:r>
      </w:hyperlink>
      <w:r>
        <w:rPr>
          <w:rFonts w:ascii="Verdana" w:hAnsi="Verdana"/>
        </w:rPr>
        <w:t xml:space="preserve"> </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de l'école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EESPCF Mariembourg</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Chaussée de Roly 15, 5660 COUVIN</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w:t>
      </w:r>
      <w:r>
        <w:t xml:space="preserve"> </w:t>
      </w:r>
      <w:hyperlink r:id="rId11" w:history="1">
        <w:r>
          <w:rPr>
            <w:rStyle w:val="Lienhypertexte"/>
            <w:rFonts w:ascii="Verdana" w:hAnsi="Verdana"/>
            <w:u w:val="none"/>
          </w:rPr>
          <w:t>http://www.ecoles.cfwb.be/eespcfmariembourg/</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rPr>
        <w:t>Date présumée d’entrée en fonction</w:t>
      </w:r>
      <w:r>
        <w:rPr>
          <w:rFonts w:ascii="Verdana" w:hAnsi="Verdana"/>
        </w:rPr>
        <w:t> : 01 mars 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b/>
        </w:rPr>
        <w:t>Caractéristiques structurelles de l’établissement</w:t>
      </w:r>
      <w:r>
        <w:rPr>
          <w:rFonts w:ascii="Verdana" w:hAnsi="Verdana"/>
          <w:b/>
        </w:rPr>
        <w:tab/>
      </w:r>
      <w:r>
        <w:rPr>
          <w:rFonts w:ascii="Verdana" w:hAnsi="Verdana"/>
        </w:rPr>
        <w:t xml:space="preserve"> </w:t>
      </w:r>
      <w:r>
        <w:rPr>
          <w:rFonts w:ascii="Verdana" w:hAnsi="Verdana"/>
        </w:rPr>
        <w:br/>
        <w:t>Mariembourg est une section de la commune de Couvin située en Région wallonne dans la province de Namur, situé à 45km de Charleroi, de 20km de Chimay et de 20km de Philippeville.</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L’EESPCF Mariembourg est une école d’enseignement spécialisé autonome qui accueille en moyenne une soixantaine d’élèves de Type 1 et de Type 8 de 6 à 13 ans. L’ouverture du Type 2 a été mise en place cette rentrée 2020-2021.</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L’établissement est composé d’une seule implantation principale. Le home d’accueil « Les Aubépines » est situé sur le même site que l’établissement mais celui-ci est autonome de l’EESPCF Mariembourg. Une dizaine d’élèves de l’école y sont inscrits.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À quelques rares exceptions, les élèves ne sont pas issus de la localité mais de la région. Ils bénéficient du transport scolaire. Le niveau social général est assez précaire.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b/>
        </w:rPr>
        <w:t>Composition de l’équipe</w:t>
      </w:r>
      <w:r>
        <w:rPr>
          <w:rFonts w:ascii="Verdana" w:hAnsi="Verdana"/>
          <w:b/>
        </w:rPr>
        <w:tab/>
      </w:r>
      <w:r>
        <w:rPr>
          <w:rFonts w:ascii="Verdana" w:hAnsi="Verdana"/>
          <w:b/>
        </w:rPr>
        <w:br/>
      </w:r>
      <w:r>
        <w:rPr>
          <w:rFonts w:ascii="Verdana" w:hAnsi="Verdana"/>
        </w:rPr>
        <w:t>L’équipe éducative est composée d’une vingtaine de personnes dont :</w:t>
      </w:r>
      <w:r>
        <w:rPr>
          <w:rFonts w:ascii="Verdana" w:hAnsi="Verdana"/>
        </w:rPr>
        <w:tab/>
        <w:t xml:space="preserve"> </w:t>
      </w:r>
      <w:r>
        <w:rPr>
          <w:rFonts w:ascii="Verdana" w:hAnsi="Verdana"/>
        </w:rPr>
        <w:br/>
        <w:t>- 1 correspondante-comptable</w:t>
      </w:r>
      <w:r>
        <w:rPr>
          <w:rFonts w:ascii="Verdana" w:hAnsi="Verdana"/>
        </w:rPr>
        <w:tab/>
      </w:r>
      <w:r>
        <w:rPr>
          <w:rFonts w:ascii="Verdana" w:hAnsi="Verdana"/>
        </w:rPr>
        <w:br/>
        <w:t>- 11 membres du personnel enseignant et assimilé.</w:t>
      </w:r>
      <w:r>
        <w:rPr>
          <w:rFonts w:ascii="Verdana" w:hAnsi="Verdana"/>
        </w:rPr>
        <w:tab/>
        <w:t xml:space="preserve"> </w:t>
      </w:r>
      <w:r>
        <w:rPr>
          <w:rFonts w:ascii="Verdana" w:hAnsi="Verdana"/>
        </w:rPr>
        <w:br/>
        <w:t>- 2 membres du personnel paramédical.</w:t>
      </w:r>
      <w:r>
        <w:rPr>
          <w:rFonts w:ascii="Verdana" w:hAnsi="Verdana"/>
        </w:rPr>
        <w:tab/>
      </w:r>
      <w:r>
        <w:rPr>
          <w:rFonts w:ascii="Verdana" w:hAnsi="Verdana"/>
        </w:rPr>
        <w:br/>
        <w:t xml:space="preserve">- 3 ouvriers d’entretien dont 1 chauffeur de car (conseiller en prévention). </w:t>
      </w:r>
      <w:r>
        <w:rPr>
          <w:rFonts w:ascii="Verdana" w:hAnsi="Verdana"/>
        </w:rPr>
        <w:tab/>
      </w:r>
      <w:r>
        <w:rPr>
          <w:rFonts w:ascii="Verdana" w:hAnsi="Verdana"/>
        </w:rPr>
        <w:br/>
        <w:t xml:space="preserve">- 2 techniciennes de surface. </w:t>
      </w:r>
      <w:r>
        <w:rPr>
          <w:rFonts w:ascii="Verdana" w:hAnsi="Verdana"/>
        </w:rPr>
        <w:tab/>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b/>
        </w:rPr>
        <w:t>Éléments qui participent à l’attractivité de l’établissement</w:t>
      </w:r>
      <w:r>
        <w:rPr>
          <w:rFonts w:ascii="Verdana" w:hAnsi="Verdana"/>
        </w:rPr>
        <w:tab/>
      </w:r>
      <w:r>
        <w:rPr>
          <w:rFonts w:ascii="Verdana" w:hAnsi="Verdana"/>
        </w:rPr>
        <w:br/>
        <w:t>Un cours de natation est organisé à la piscine de Couvin pour toutes les classes.</w:t>
      </w:r>
      <w:r>
        <w:rPr>
          <w:rFonts w:ascii="Verdana" w:hAnsi="Verdana"/>
        </w:rPr>
        <w:br/>
        <w:t>Les repas chauds sont préparés par le Home d’accueil.</w:t>
      </w:r>
      <w:r>
        <w:rPr>
          <w:rFonts w:ascii="Verdana" w:hAnsi="Verdana"/>
        </w:rPr>
        <w:tab/>
        <w:t xml:space="preserve"> </w:t>
      </w:r>
      <w:r>
        <w:rPr>
          <w:rFonts w:ascii="Verdana" w:hAnsi="Verdana"/>
        </w:rPr>
        <w:br/>
        <w:t>Au niveau de l’équipement : bibliothèque dans l’école, local cybermédia complet et fonctionnel, classes équipées de tableaux interactifs, utilisation de tablettes numériques pour certaines activités.</w:t>
      </w:r>
      <w:r>
        <w:rPr>
          <w:rFonts w:ascii="Verdana" w:hAnsi="Verdana"/>
        </w:rPr>
        <w:tab/>
      </w:r>
      <w:r>
        <w:rPr>
          <w:rFonts w:ascii="Verdana" w:hAnsi="Verdana"/>
        </w:rPr>
        <w:br/>
        <w:t>L’école dispose d’un car mis à disposition par le SPW.</w:t>
      </w:r>
      <w:r>
        <w:rPr>
          <w:rFonts w:ascii="Verdana" w:hAnsi="Verdana"/>
        </w:rPr>
        <w:tab/>
      </w:r>
      <w:r>
        <w:rPr>
          <w:rFonts w:ascii="Verdana" w:hAnsi="Verdana"/>
        </w:rPr>
        <w:br/>
        <w:t>Environnement agréable : classes et espaces verts autour de l’établissement sont très bien entretenus.</w:t>
      </w:r>
      <w:r>
        <w:rPr>
          <w:rFonts w:ascii="Verdana" w:hAnsi="Verdana"/>
        </w:rPr>
        <w:tab/>
      </w:r>
      <w:r>
        <w:rPr>
          <w:rFonts w:ascii="Verdana" w:hAnsi="Verdana"/>
        </w:rPr>
        <w:br/>
        <w:t>Projet pédagogique classe du dehors et mare pédagogique.</w:t>
      </w:r>
    </w:p>
    <w:p>
      <w:pPr>
        <w:pBdr>
          <w:top w:val="single" w:sz="4" w:space="1" w:color="000000"/>
          <w:left w:val="single" w:sz="4" w:space="4" w:color="000000"/>
          <w:bottom w:val="single" w:sz="4" w:space="1" w:color="000000"/>
          <w:right w:val="single" w:sz="4" w:space="4" w:color="000000"/>
        </w:pBdr>
        <w:jc w:val="both"/>
        <w:rPr>
          <w:rFonts w:ascii="Verdana" w:hAnsi="Verdana"/>
          <w:i/>
        </w:rPr>
      </w:pPr>
      <w:r>
        <w:rPr>
          <w:rFonts w:ascii="Verdana" w:hAnsi="Verdana"/>
          <w:b/>
        </w:rPr>
        <w:t>Spécificités pédagogiques</w:t>
      </w:r>
      <w:r>
        <w:rPr>
          <w:rFonts w:ascii="Verdana" w:hAnsi="Verdana"/>
        </w:rPr>
        <w:tab/>
      </w:r>
      <w:r>
        <w:rPr>
          <w:rFonts w:ascii="Verdana" w:hAnsi="Verdana"/>
        </w:rPr>
        <w:br/>
        <w:t>L’école fait partie de la troisième vague des plans de pilotage. Le processus d’élaboration n’a pu été lancé suite à la crise sanitaire du coronavirus. Pour l’instant aucune intégration n’est organisée avec l’enseignement ordinaire.</w:t>
      </w:r>
    </w:p>
    <w:p>
      <w:pPr>
        <w:rPr>
          <w:rFonts w:ascii="Verdana" w:hAnsi="Verdana" w:cs="Arial"/>
          <w:b/>
          <w:bCs/>
          <w:color w:val="000000" w:themeColor="text1"/>
          <w:u w:val="double"/>
        </w:rPr>
      </w:pPr>
    </w:p>
    <w:p>
      <w:pPr>
        <w:pBdr>
          <w:top w:val="single" w:sz="4" w:space="1" w:color="000000"/>
          <w:left w:val="single" w:sz="4" w:space="4" w:color="000000"/>
          <w:bottom w:val="single" w:sz="4" w:space="1" w:color="000000"/>
          <w:right w:val="single" w:sz="4" w:space="4" w:color="000000"/>
        </w:pBdr>
        <w:rPr>
          <w:rFonts w:ascii="Verdana" w:hAnsi="Verdana" w:cs="Arial"/>
          <w:b/>
          <w:bCs/>
          <w:color w:val="000000" w:themeColor="text1"/>
          <w:u w:val="double"/>
        </w:rPr>
      </w:pPr>
      <w:r>
        <w:rPr>
          <w:rFonts w:ascii="Verdana" w:hAnsi="Verdana" w:cs="Arial"/>
          <w:b/>
          <w:bCs/>
          <w:color w:val="000000" w:themeColor="text1"/>
          <w:u w:val="double"/>
        </w:rPr>
        <w:t xml:space="preserve">Nature de l’emploi </w:t>
      </w:r>
      <w:r>
        <w:rPr>
          <w:rFonts w:ascii="Verdana" w:hAnsi="Verdana" w:cs="Arial"/>
          <w:b/>
          <w:bCs/>
          <w:color w:val="000000" w:themeColor="text1"/>
        </w:rPr>
        <w:t xml:space="preserve">: </w:t>
      </w:r>
      <w:r>
        <w:rPr>
          <w:rFonts w:ascii="Verdana" w:hAnsi="Verdana"/>
        </w:rPr>
        <w:t>emploi définitivement vacant.</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rPr>
        <w:t>Frédéric Debaisieux, Préfet de zone, frederic.debaisieux(at)cfwb.be</w:t>
      </w:r>
    </w:p>
    <w:p>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Destinataires de l’appel </w:t>
      </w:r>
      <w:r>
        <w:rPr>
          <w:rFonts w:ascii="Verdana" w:hAnsi="Verdana" w:cs="Arial"/>
          <w:b/>
          <w:color w:val="000000" w:themeColor="text1"/>
        </w:rPr>
        <w:t xml:space="preserve">: </w:t>
      </w:r>
      <w:r>
        <w:rPr>
          <w:rFonts w:ascii="Verdana" w:hAnsi="Verdana" w:cs="Arial"/>
          <w:color w:val="000000" w:themeColor="text1"/>
        </w:rPr>
        <w:t>Les membres du personnel exerçant leurs fonctions au sein de WBE.</w:t>
      </w: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Les dossiers de candidature doivent être envoyés, au plus tard le 02 décembre 2020 inclus. </w:t>
      </w:r>
    </w:p>
    <w:p>
      <w:pPr>
        <w:pBdr>
          <w:top w:val="single" w:sz="4" w:space="1" w:color="000000"/>
          <w:left w:val="single" w:sz="4" w:space="4" w:color="000000"/>
          <w:bottom w:val="single" w:sz="4" w:space="1" w:color="000000"/>
          <w:right w:val="single" w:sz="4" w:space="4" w:color="000000"/>
        </w:pBdr>
      </w:pPr>
      <w:r>
        <w:rPr>
          <w:rFonts w:ascii="Verdana" w:hAnsi="Verdana"/>
        </w:rPr>
        <w:t xml:space="preserve">- De préférence, par envoi électronique avec une demande d’accusé de réception et d’accusé de lecture : </w:t>
      </w:r>
      <w:r>
        <w:rPr>
          <w:rFonts w:ascii="Verdana" w:hAnsi="Verdana"/>
        </w:rPr>
        <w:br/>
        <w:t xml:space="preserve">Destinataire : </w:t>
      </w:r>
      <w:hyperlink r:id="rId12">
        <w:r>
          <w:rPr>
            <w:rStyle w:val="LienInternet"/>
            <w:rFonts w:ascii="Verdana" w:hAnsi="Verdana"/>
          </w:rPr>
          <w:t>selection.promotion(at)w-b-e.be</w:t>
        </w:r>
      </w:hyperlink>
      <w:r>
        <w:rPr>
          <w:rFonts w:ascii="Verdana" w:hAnsi="Verdana"/>
        </w:rPr>
        <w:br/>
        <w:t>Objet : WBE CE 2020 023</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Ou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-Par recommandé ou déposés contre avis de réception à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Direction des ressources humaines : Service sélection et promotion de l’enseignement. </w:t>
      </w:r>
      <w:r>
        <w:rPr>
          <w:rFonts w:ascii="Verdana" w:hAnsi="Verdana"/>
          <w:highlight w:val="yellow"/>
        </w:rPr>
        <w:br/>
      </w:r>
      <w:r>
        <w:rPr>
          <w:rFonts w:ascii="Verdana" w:hAnsi="Verdana"/>
        </w:rPr>
        <w:t>Wallonie-Bruxelles Enseignement</w:t>
      </w:r>
      <w:r>
        <w:rPr>
          <w:rFonts w:ascii="Verdana" w:hAnsi="Verdana"/>
        </w:rPr>
        <w:br/>
        <w:t xml:space="preserve">Boulevard du Jardin botanique 20-22 à 1000 Bruxelles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Un formulaire de candidature de la fonction (voir annexe 3) à pourvoir complété</w:t>
      </w:r>
      <w:r>
        <w:rPr>
          <w:rFonts w:ascii="Verdana" w:hAnsi="Verdana"/>
        </w:rPr>
        <w:br/>
        <w:t>- Une copie du (ou des) diplôme(s) requis</w:t>
      </w:r>
      <w:r>
        <w:rPr>
          <w:rFonts w:ascii="Verdana" w:hAnsi="Verdana"/>
        </w:rPr>
        <w:br/>
        <w:t>- Un extrait de casier judiciaire 596.2 vierge antérieur de 3 mois maximum à partir de la date de fin de publication de l’appel à candidature.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 cas échéant, une copie des attestations de réussite obtenues dans le cadre de la formation initiale des directeurs</w:t>
      </w:r>
      <w:r>
        <w:rPr>
          <w:rFonts w:ascii="Verdana" w:hAnsi="Verdana"/>
          <w:sz w:val="18"/>
        </w:rPr>
        <w:t xml:space="preserve"> (H/F/X)</w:t>
      </w:r>
      <w:r>
        <w:rPr>
          <w:rFonts w:ascii="Verdana" w:hAnsi="Verdana"/>
        </w:rPr>
        <w:t xml:space="preserve"> sera jointe au dossier de candidature. Celles-ci pourront être considérées comme un atout.</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000000"/>
          <w:left w:val="single" w:sz="4" w:space="4" w:color="000000"/>
          <w:bottom w:val="single" w:sz="4" w:space="1" w:color="000000"/>
          <w:right w:val="single" w:sz="4" w:space="4" w:color="000000"/>
        </w:pBdr>
        <w:jc w:val="both"/>
        <w:rPr>
          <w:rFonts w:ascii="Verdana" w:hAnsi="Verdana"/>
        </w:rPr>
      </w:pPr>
    </w:p>
    <w:p>
      <w:pPr>
        <w:pBdr>
          <w:top w:val="single" w:sz="4" w:space="1" w:color="000000"/>
          <w:left w:val="single" w:sz="4" w:space="4" w:color="000000"/>
          <w:bottom w:val="single" w:sz="4" w:space="1" w:color="000000"/>
          <w:right w:val="single" w:sz="4" w:space="4" w:color="000000"/>
        </w:pBdr>
        <w:jc w:val="both"/>
        <w:rPr>
          <w:rFonts w:ascii="Verdana" w:hAnsi="Verdana"/>
        </w:rPr>
      </w:pP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Annexe 1 : Conditions d’accès à la fonction.</w:t>
      </w:r>
      <w:r>
        <w:rPr>
          <w:rFonts w:ascii="Verdana" w:hAnsi="Verdana"/>
        </w:rPr>
        <w:tab/>
      </w:r>
      <w:r>
        <w:rPr>
          <w:rFonts w:ascii="Verdana" w:hAnsi="Verdana"/>
        </w:rPr>
        <w:br/>
        <w:t>- Annexe 2 : Profil de fonction établi par le Pouvoir organisateur.</w:t>
      </w:r>
      <w:r>
        <w:rPr>
          <w:rFonts w:ascii="Verdana" w:hAnsi="Verdana"/>
        </w:rPr>
        <w:tab/>
        <w:t xml:space="preserve"> </w:t>
      </w:r>
      <w:r>
        <w:rPr>
          <w:rFonts w:ascii="Verdana" w:hAnsi="Verdana"/>
        </w:rPr>
        <w:br/>
        <w:t xml:space="preserve">- Annexe 3 : Formulaire de candidatures (disponible en version électronique sur notre site internet : </w:t>
      </w:r>
      <w:hyperlink r:id="rId13" w:history="1">
        <w:r>
          <w:rPr>
            <w:rStyle w:val="Lienhypertexte"/>
            <w:rFonts w:ascii="Verdana" w:hAnsi="Verdana"/>
          </w:rPr>
          <w:t>https://www.w-b-e.be/jobs-carriere/evolution-de-carriere/emplois-vacants/</w:t>
        </w:r>
      </w:hyperlink>
      <w:r>
        <w:rPr>
          <w:rFonts w:ascii="Verdana" w:hAnsi="Verdana"/>
        </w:rPr>
        <w:t xml:space="preserve">  et à joindre dans votre candidature)</w:t>
      </w:r>
    </w:p>
    <w:p>
      <w:pPr>
        <w:spacing w:after="160" w:line="259" w:lineRule="auto"/>
        <w:rPr>
          <w:rFonts w:ascii="Verdana" w:hAnsi="Verdana"/>
          <w:b/>
        </w:rPr>
      </w:pPr>
      <w:r>
        <w:br w:type="page"/>
      </w:r>
      <w:r>
        <w:rPr>
          <w:rFonts w:ascii="Verdana" w:hAnsi="Verdana"/>
          <w:b/>
        </w:rPr>
        <w:t xml:space="preserve">Annexe 1. Conditions d’accès à la fonction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l’enseignement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organisé ou subventionné par la Communauté française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cs="Arial"/>
          <w:b/>
          <w:color w:val="000000" w:themeColor="text1"/>
        </w:rPr>
      </w:pPr>
      <w:r>
        <w:rPr>
          <w:rFonts w:ascii="Verdana" w:hAnsi="Verdana" w:cs="Arial"/>
          <w:b/>
          <w:color w:val="000000" w:themeColor="text1"/>
        </w:rPr>
        <w:t>Les candidats reconnus comme éligibles à une fonction de directeur(H/F/X)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formulaire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1 « Responsabilité », en tenant compte des connaissances de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WBE : son organisation, son projet éducatif et pédagogique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hAnsi="Verdana"/>
        </w:rPr>
        <w:t>EESPCF Mariembourg</w:t>
      </w:r>
      <w:r>
        <w:rPr>
          <w:rFonts w:ascii="Verdana" w:eastAsia="Times New Roman" w:hAnsi="Verdana" w:cs="Arial"/>
          <w:color w:val="000000" w:themeColor="text1"/>
          <w:lang w:eastAsia="fr-FR"/>
        </w:rPr>
        <w:t xml:space="preserve">: les projets pédagogiques déjà mis en place, les caractéristiques de l’établissement, l’ancrage environnemental. </w:t>
      </w:r>
    </w:p>
    <w:p>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3 « Motivation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eastAsia="Times New Roman" w:hAnsi="Verdana" w:cs="Arial"/>
          <w:b/>
          <w:color w:val="000000" w:themeColor="text1"/>
          <w:lang w:eastAsia="fr-FR"/>
        </w:rPr>
        <w:t>Disposer d’attestations de réussite obtenues dans le cadre de la formation initiale des directeurs(H/F/X).</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u w:val="single"/>
          <w:lang w:eastAsia="fr-FR"/>
        </w:rPr>
        <w:t>Le jury est prévu le 16 décembre 2021, une convocation sera envoyée aux candidats retenus après le 09 décembre 2020</w:t>
      </w:r>
      <w:r>
        <w:rPr>
          <w:rFonts w:ascii="Verdana" w:eastAsia="Times New Roman" w:hAnsi="Verdana" w:cs="Arial"/>
          <w:b/>
          <w:color w:val="000000" w:themeColor="text1"/>
          <w:lang w:eastAsia="fr-FR"/>
        </w:rPr>
        <w:t>.</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hors Belgique, une attestation d'équivalence du diplôme de la Communauté française est requise (pour l'obtenir: 02/690.89.00  ou https://www.formulairesweb.cfwb.be/equi_ens_oblig/formulaire_equivalence.html) Service de l’équivalence des diplômes /Service de la reconnaissance académique et professionnelle des diplômes étrangers d’enseignement supérieur)</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mettant en nous donnant les informations qui nous permettront d’adapter les conditions de l’entretien.</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hyperlink r:id="rId14" w:history="1">
        <w:r>
          <w:rPr>
            <w:rStyle w:val="Lienhypertexte"/>
            <w:rFonts w:ascii="Verdana" w:eastAsia="Times New Roman" w:hAnsi="Verdana" w:cs="Arial"/>
            <w:lang w:eastAsia="fr-FR"/>
          </w:rPr>
          <w:t>selection.promotion(at)w-b-e.be</w:t>
        </w:r>
      </w:hyperlink>
      <w:r>
        <w:rPr>
          <w:rFonts w:ascii="Verdana" w:eastAsia="Times New Roman" w:hAnsi="Verdana" w:cs="Arial"/>
          <w:color w:val="000000" w:themeColor="text1"/>
          <w:lang w:eastAsia="fr-FR"/>
        </w:rPr>
        <w:t xml:space="preserve"> </w:t>
      </w:r>
    </w:p>
    <w:p>
      <w:pPr>
        <w:spacing w:after="160" w:line="259" w:lineRule="auto"/>
        <w:rPr>
          <w:rFonts w:ascii="Verdana" w:hAnsi="Verdana"/>
        </w:rPr>
      </w:pPr>
      <w:r>
        <w:br w:type="page"/>
      </w:r>
    </w:p>
    <w:p>
      <w:pPr>
        <w:spacing w:after="160" w:line="259" w:lineRule="auto"/>
        <w:rPr>
          <w:rFonts w:ascii="Verdana" w:hAnsi="Verdana"/>
        </w:rPr>
      </w:pPr>
    </w:p>
    <w:p>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5"/>
                    <a:stretch>
                      <a:fillRect/>
                    </a:stretch>
                  </pic:blipFill>
                  <pic:spPr bwMode="auto">
                    <a:xfrm>
                      <a:off x="0" y="0"/>
                      <a:ext cx="4919345" cy="1211580"/>
                    </a:xfrm>
                    <a:prstGeom prst="rect">
                      <a:avLst/>
                    </a:prstGeom>
                  </pic:spPr>
                </pic:pic>
              </a:graphicData>
            </a:graphic>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w:t>
          </w:r>
        </w:sdtContent>
      </w:sdt>
      <w:r>
        <w:rPr>
          <w:rFonts w:ascii="Calibri Light" w:eastAsia="Calibri" w:hAnsi="Calibri Light" w:cs="Times New Roman"/>
          <w:b/>
          <w:caps/>
          <w:sz w:val="68"/>
          <w:szCs w:val="68"/>
          <w:lang w:eastAsia="nl-BE"/>
        </w:rPr>
        <w:t xml:space="preserve"> </w:t>
      </w:r>
      <w:r>
        <w:rPr>
          <w:rFonts w:ascii="Calibri Light" w:eastAsia="Calibri" w:hAnsi="Calibri Light" w:cs="Times New Roman"/>
          <w:b/>
          <w:caps/>
          <w:sz w:val="48"/>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Content>
        <w:p>
          <w:pPr>
            <w:spacing w:after="0" w:line="273" w:lineRule="auto"/>
            <w:ind w:left="426"/>
            <w:rPr>
              <w:rFonts w:ascii="Calibri Light" w:eastAsia="Calibri" w:hAnsi="Calibri Light" w:cs="Calibri Light"/>
              <w:b/>
              <w:sz w:val="48"/>
              <w:szCs w:val="44"/>
              <w:u w:val="single" w:color="C9282D"/>
            </w:rPr>
          </w:pPr>
          <w:r>
            <w:rPr>
              <w:rFonts w:ascii="Calibri Light" w:eastAsia="Calibri" w:hAnsi="Calibri Light" w:cs="Calibri Light"/>
              <w:b/>
              <w:color w:val="000000" w:themeColor="text1"/>
              <w:sz w:val="48"/>
              <w:szCs w:val="44"/>
              <w:u w:val="single" w:color="C9282D"/>
            </w:rPr>
            <w:t>Ecole Primaire spécialisée</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sz w:val="36"/>
          <w:szCs w:val="24"/>
          <w:u w:val="single" w:color="F4AA00"/>
          <w:lang w:eastAsia="fr-FR"/>
        </w:r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F4AA00"/>
          <w:lang w:eastAsia="fr-FR"/>
        </w:rPr>
        <w:t>Etablissement : EESPCF Mariembourg</w:t>
      </w:r>
    </w:p>
    <w:p>
      <w:pPr>
        <w:spacing w:after="0" w:line="240" w:lineRule="auto"/>
        <w:ind w:firstLine="426"/>
        <w:rPr>
          <w:rFonts w:ascii="Calibri Light" w:eastAsia="Times New Roman" w:hAnsi="Calibri Light" w:cs="Calibri Light"/>
          <w:b/>
          <w:sz w:val="36"/>
          <w:szCs w:val="24"/>
          <w:highlight w:val="yellow"/>
          <w:lang w:eastAsia="fr-FR"/>
        </w:rPr>
      </w:pPr>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footerReference w:type="default" r:id="rId16"/>
          <w:headerReference w:type="first" r:id="rId17"/>
          <w:footerReference w:type="first" r:id="rId18"/>
          <w:pgSz w:w="11906" w:h="16838"/>
          <w:pgMar w:top="1417" w:right="1417" w:bottom="1417" w:left="1417" w:header="567" w:footer="227" w:gutter="0"/>
          <w:cols w:space="720"/>
          <w:formProt w:val="0"/>
          <w:titlePg/>
          <w:docGrid w:linePitch="326" w:charSpace="409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Pr>
          <w:rFonts w:ascii="Calibri Light" w:eastAsia="Times New Roman" w:hAnsi="Calibri Light" w:cs="Calibri Light"/>
          <w:b/>
          <w:color w:val="000000" w:themeColor="text1"/>
          <w:sz w:val="36"/>
          <w:szCs w:val="24"/>
          <w:u w:val="single" w:color="001D77"/>
          <w:lang w:eastAsia="fr-FR"/>
        </w:rPr>
        <w:t>WBE CE 2020 023</w:t>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t xml:space="preserve">Le directeur (H/F/X) a une compétence générale de pilotage et d’organisation de l’établissement. </w:t>
      </w:r>
      <w:r>
        <w:rPr>
          <w:rFonts w:eastAsia="Times New Roman" w:cs="Times New Roman"/>
          <w:color w:val="000000"/>
          <w:lang w:eastAsia="fr-FR"/>
        </w:rPr>
        <w:br/>
        <w:t>Il/Elle assume les responsabilités que son pouvoir organisateur, WBE, lui confie dans 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685"/>
        <w:gridCol w:w="1249"/>
        <w:gridCol w:w="294"/>
        <w:gridCol w:w="662"/>
        <w:gridCol w:w="1033"/>
      </w:tblGrid>
      <w:tr>
        <w:trPr>
          <w:gridAfter w:val="5"/>
          <w:wAfter w:w="4923" w:type="dxa"/>
          <w:trHeight w:val="311"/>
        </w:trPr>
        <w:tc>
          <w:tcPr>
            <w:tcW w:w="315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55" w:type="dxa"/>
            <w:vMerge w:val="restart"/>
            <w:tcBorders>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7" w:name="__Fieldmark__318_2749759877"/>
            <w:bookmarkEnd w:id="7"/>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0" w:name="__Fieldmark__340_2749759877"/>
            <w:bookmarkEnd w:id="10"/>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2" w:name="__Fieldmark__350_2749759877"/>
            <w:bookmarkEnd w:id="12"/>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eastAsia="Times New Roman" w:cs="Times New Roman"/>
                <w:color w:val="000000"/>
                <w:lang w:eastAsia="fr-FR"/>
              </w:rPr>
            </w:pPr>
            <w:r>
              <w:rPr>
                <w:rFonts w:eastAsia="Times New Roman" w:cs="Times New Roman"/>
                <w:color w:val="000000"/>
                <w:lang w:eastAsia="fr-FR"/>
              </w:rPr>
              <w:t>Le Home d’Accueil « les aubépines »</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r>
              <w:fldChar w:fldCharType="end"/>
            </w:r>
          </w:p>
        </w:tc>
      </w:tr>
      <w:tr>
        <w:trPr>
          <w:gridAfter w:val="5"/>
          <w:wAfter w:w="4923" w:type="dxa"/>
          <w:trHeight w:val="269"/>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695" w:type="dxa"/>
          <w:trHeight w:val="460"/>
        </w:trPr>
        <w:tc>
          <w:tcPr>
            <w:tcW w:w="3155" w:type="dxa"/>
            <w:vMerge/>
            <w:tcBorders>
              <w:top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3" w:name="__Fieldmark__353_2749759877"/>
            <w:bookmarkEnd w:id="13"/>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trPr>
          <w:gridAfter w:val="5"/>
          <w:wAfter w:w="4923" w:type="dxa"/>
          <w:trHeight w:val="460"/>
        </w:trPr>
        <w:tc>
          <w:tcPr>
            <w:tcW w:w="3155" w:type="dxa"/>
            <w:shd w:val="clear" w:color="auto" w:fill="auto"/>
          </w:tc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Nous</w:t>
      </w:r>
      <w:r>
        <w:rPr>
          <w:rFonts w:eastAsia="Times New Roman" w:cs="Times New Roman"/>
          <w:color w:val="000000"/>
          <w:lang w:eastAsia="fr-FR"/>
        </w:rPr>
        <w:t xml:space="preserve"> rassemblons 365 établissements scolaires </w:t>
      </w:r>
      <w:r>
        <w:rPr>
          <w:rFonts w:eastAsia="Times New Roman" w:cs="Times New Roman"/>
          <w:b/>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accueille </w:t>
      </w:r>
      <w:r>
        <w:rPr>
          <w:rFonts w:eastAsia="Times New Roman" w:cs="Times New Roman"/>
          <w:color w:val="000000"/>
          <w:lang w:eastAsia="fr-FR"/>
        </w:rPr>
        <w:t>plus de 211 000 élèves ou étudiants de la maternelle à l’enseignement supérieur et emploie plus de 30 000 personnes. WBE, c’est aussi 3.200.000 m²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des membres de son personnel,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 (H/F/X)</w:t>
      </w:r>
      <w:r>
        <w:rPr>
          <w:rFonts w:eastAsia="Times New Roman" w:cs="Times New Roman"/>
          <w:lang w:eastAsia="fr-FR"/>
        </w:rPr>
        <w:t xml:space="preserve">, vous pouvez être amené(e) à : </w:t>
      </w:r>
      <w:r>
        <w:rPr>
          <w:rFonts w:eastAsia="Times New Roman" w:cs="Times New Roman"/>
          <w:lang w:eastAsia="fr-FR"/>
        </w:rPr>
        <w:tab/>
      </w:r>
      <w:r>
        <w:rPr>
          <w:rFonts w:eastAsia="Times New Roman" w:cs="Times New Roman"/>
          <w:lang w:eastAsia="fr-FR"/>
        </w:rPr>
        <w:br/>
      </w: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organisateur. Donner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Incarner les valeurs fondant l’action pédagogique et éducative prônée par WBE,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pPr>
        <w:tabs>
          <w:tab w:val="left" w:pos="1985"/>
        </w:tabs>
        <w:spacing w:after="0" w:line="240" w:lineRule="auto"/>
        <w:jc w:val="both"/>
        <w:rPr>
          <w:rFonts w:eastAsia="Times New Roman" w:cs="Calibri"/>
          <w:lang w:eastAsia="fr-BE"/>
        </w:rPr>
      </w:pP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en tant que leader pédagogique et éducatif, piloter la co-construction du projet d’établissement et du plan de pilotage de l’école, en menant à bien le processus de contractualisation y afférent ainsi que la mise en œuvre collective du contrat d’objectifs (ou le cas échéant, le protocole de collaboration).</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pPr>
      <w:r>
        <w:rPr>
          <w:rFonts w:eastAsia="Times New Roman" w:cs="Calibri"/>
          <w:bCs/>
          <w:lang w:eastAsia="fr-FR"/>
        </w:rPr>
        <w:t>Jouer un rôle d’interface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tout processus décisionnel.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Le directeur (H/F/X) veille, le cas échéant, à la bonne organisation des organes locaux de concertation sociale légaux et conventionnels</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Responsabilités spécifiques à l’établissement EESPCF Mariembourg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à collaborer avec l’ASBL « L’AESM » gérée par des membres du personnel qui organise des activités lucratives au bénéfice des élèves (aide sociale en cas de difficultés financières, intervention dans le coût de la piscine, des animations et sorties,…).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Veiller à maintenir une étroite collaboration avec le CPMS dans le suivi des élèves.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sectPr>
          <w:headerReference w:type="default" r:id="rId19"/>
          <w:footerReference w:type="default" r:id="rId20"/>
          <w:pgSz w:w="11906" w:h="16838"/>
          <w:pgMar w:top="1417" w:right="1417" w:bottom="1417" w:left="1417" w:header="708" w:footer="16" w:gutter="0"/>
          <w:cols w:space="720"/>
          <w:formProt w:val="0"/>
          <w:docGrid w:linePitch="360" w:charSpace="4096"/>
        </w:sectPr>
      </w:pPr>
      <w:r>
        <w:rPr>
          <w:rFonts w:ascii="Calibri" w:eastAsia="Times New Roman" w:hAnsi="Calibri" w:cs="Calibri"/>
          <w:bCs/>
          <w:lang w:eastAsia="fr-FR"/>
        </w:rPr>
        <w:t xml:space="preserve">Veiller à développer une étroite collaboration avec les SAJ/SPJ et les personnes référentes au sein des différentes institutions d’accueil.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tbl>
      <w:tblPr>
        <w:tblpPr w:leftFromText="141" w:rightFromText="141" w:vertAnchor="text" w:horzAnchor="margin" w:tblpY="-77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Profil de compétence</w:t>
            </w:r>
          </w:p>
        </w:tc>
      </w:tr>
    </w:tbl>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entre les méthodes pédagogiques de l’équipe éducative et les caractéristiques de la population scolaire et les spécificités de la matière/contenu.</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ind w:left="-70"/>
        <w:jc w:val="both"/>
      </w:pPr>
      <w:r>
        <w:rPr>
          <w:rFonts w:eastAsia="Times New Roman" w:cs="Calibri"/>
          <w:bCs/>
          <w:lang w:eastAsia="fr-FR"/>
        </w:rPr>
        <w:t>Favoriser la collaboration de l’équipe éducative avec le Centre psycho-médico-social.</w:t>
      </w:r>
    </w:p>
    <w:p>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pPr>
        <w:tabs>
          <w:tab w:val="left" w:pos="1985"/>
        </w:tabs>
        <w:spacing w:after="0" w:line="240" w:lineRule="auto"/>
        <w:ind w:left="-70"/>
        <w:jc w:val="both"/>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Responsabilités spécifiques à l’établissement EESPCF Mariembourg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Maintenir la collaboration avec les services de l’ONE de Chimay et de Couvin ainsi que ceux du planning familial de Couvin qui viennent proposer de nombreuses activités et animations dans l’école.</w:t>
      </w:r>
    </w:p>
    <w:p>
      <w:pPr>
        <w:tabs>
          <w:tab w:val="left" w:pos="1985"/>
        </w:tabs>
        <w:spacing w:after="0" w:line="240" w:lineRule="auto"/>
        <w:ind w:left="-70"/>
        <w:jc w:val="both"/>
      </w:pPr>
      <w:r>
        <w:rPr>
          <w:rFonts w:ascii="Calibri" w:eastAsia="Times New Roman" w:hAnsi="Calibri" w:cs="Calibri"/>
          <w:bCs/>
          <w:lang w:eastAsia="fr-FR"/>
        </w:rPr>
        <w:t xml:space="preserve">Etre capable d’intégrer le processus d’élaboration du plan de pilotage qui sera en cours. </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 dynamique collective et soutenir le travail collaboratif dans une visée de partage de pratiques et d’organisation apprenante.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pouvoir organisateur pour construire une équipe éducative centrée sur l’élève,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Accompagner les équipes éducatives dans le changement et les innovations qu’elles mettent en œuvre.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à l’accueil et à l’intégration des nouveaux membres du personnel ainsi qu’à l’accompagnement des membres du personnel en difficulté.</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tbl>
      <w:tblPr>
        <w:tblpPr w:leftFromText="141" w:rightFromText="141" w:vertAnchor="text" w:horzAnchor="margin" w:tblpY="-142"/>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professionnel, individuel et collectif des membres du personnel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pPr>
        <w:tabs>
          <w:tab w:val="left" w:pos="1985"/>
        </w:tabs>
        <w:spacing w:after="0" w:line="240" w:lineRule="auto"/>
        <w:ind w:left="290"/>
        <w:contextualSpacing/>
        <w:jc w:val="both"/>
        <w:rPr>
          <w:rFonts w:ascii="Calibri" w:eastAsia="Times New Roman" w:hAnsi="Calibri" w:cs="Calibri"/>
          <w:bCs/>
          <w:lang w:eastAsia="fr-FR"/>
        </w:rPr>
      </w:pPr>
    </w:p>
    <w:p>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participer à l’identification de leurs besoins de formation et leur faciliter l’accès à la formation en cours de carrière dans le cadre du plan de formation de l’école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Veiller au respect du statut des membres du personnel et du règlement de travail.</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analyser, intégrer et faire circuler l’information en la reformulant de manière adaptée et au moyen des dispositifs adéquats à l’attention, respectivement, du Pouvoir organisateur, des membres du personnel, des élèves, des parents et des agents du Centre psycho-médico-social et en tant qu’interface,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 la limite des délégations qui ont été données.</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Responsabilités spécifiques à l’établissement EESPCF Mariembourg :</w:t>
      </w:r>
    </w:p>
    <w:p>
      <w:pPr>
        <w:pStyle w:val="Paragraphedeliste"/>
        <w:numPr>
          <w:ilvl w:val="0"/>
          <w:numId w:val="2"/>
        </w:numPr>
        <w:tabs>
          <w:tab w:val="left" w:pos="1985"/>
        </w:tabs>
        <w:spacing w:after="0" w:line="240" w:lineRule="auto"/>
        <w:jc w:val="both"/>
        <w:rPr>
          <w:rFonts w:eastAsia="Times New Roman" w:cs="Calibri"/>
          <w:lang w:eastAsia="fr-FR"/>
        </w:rPr>
      </w:pPr>
      <w:r>
        <w:rPr>
          <w:rFonts w:eastAsia="Times New Roman" w:cs="Calibri"/>
          <w:lang w:eastAsia="fr-FR"/>
        </w:rPr>
        <w:t xml:space="preserve">Gestion des conseils de classe et suivi PIA (semaine) ; </w:t>
      </w:r>
    </w:p>
    <w:p>
      <w:pPr>
        <w:pStyle w:val="Paragraphedeliste"/>
        <w:numPr>
          <w:ilvl w:val="0"/>
          <w:numId w:val="2"/>
        </w:numPr>
        <w:tabs>
          <w:tab w:val="left" w:pos="1985"/>
        </w:tabs>
        <w:spacing w:after="0" w:line="240" w:lineRule="auto"/>
        <w:jc w:val="both"/>
        <w:rPr>
          <w:rFonts w:eastAsia="Times New Roman" w:cs="Calibri"/>
          <w:bCs/>
          <w:lang w:eastAsia="fr-FR"/>
        </w:rPr>
      </w:pPr>
      <w:r>
        <w:rPr>
          <w:rFonts w:eastAsia="Times New Roman" w:cs="Calibri"/>
          <w:bCs/>
          <w:lang w:eastAsia="fr-FR"/>
        </w:rPr>
        <w:t>Maintenir la collaboration avec l’Administrateur du Home d’accueil «Les Aubépines», celui-ci étant situé sur la même implantation ;</w:t>
      </w:r>
    </w:p>
    <w:p>
      <w:pPr>
        <w:pStyle w:val="Paragraphedeliste"/>
        <w:numPr>
          <w:ilvl w:val="0"/>
          <w:numId w:val="2"/>
        </w:numPr>
        <w:tabs>
          <w:tab w:val="left" w:pos="1985"/>
        </w:tabs>
        <w:spacing w:after="0" w:line="240" w:lineRule="auto"/>
        <w:jc w:val="both"/>
        <w:rPr>
          <w:rFonts w:eastAsia="Times New Roman" w:cs="Calibri"/>
          <w:bCs/>
          <w:lang w:eastAsia="fr-FR"/>
        </w:rPr>
      </w:pPr>
      <w:r>
        <w:rPr>
          <w:rFonts w:eastAsia="Times New Roman" w:cs="Calibri"/>
          <w:bCs/>
          <w:lang w:eastAsia="fr-FR"/>
        </w:rPr>
        <w:t xml:space="preserve">Veiller à collaborer avec l’ASBL « Latitude Jeunes » qui prend en charge les garderies. </w:t>
      </w:r>
    </w:p>
    <w:p>
      <w:pPr>
        <w:pStyle w:val="Paragraphedeliste"/>
        <w:tabs>
          <w:tab w:val="left" w:pos="1985"/>
        </w:tabs>
        <w:spacing w:after="0" w:line="240" w:lineRule="auto"/>
        <w:ind w:left="290"/>
        <w:jc w:val="both"/>
        <w:rPr>
          <w:rFonts w:eastAsia="Times New Roman" w:cs="Calibri"/>
          <w:lang w:eastAsia="fr-FR"/>
        </w:rPr>
      </w:pPr>
    </w:p>
    <w:tbl>
      <w:tblPr>
        <w:tblpPr w:leftFromText="141" w:rightFromText="141" w:vertAnchor="text" w:horzAnchor="margin" w:tblpY="-72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la gestion du budget pour lequel délégation a été donnée,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équipements pédagogiques, techniques et informatiques nécessaires à son fonctionnement et en informer le pouvoir organisateur.</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 délégation a été donnée, y compris en matière de sécurité,  d'hygiène et de bien-être au travail.</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continument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la lettre de mission et à l’auto-évaluation. </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spacing w:after="0" w:line="240" w:lineRule="auto"/>
        <w:rPr>
          <w:rFonts w:ascii="Calibri" w:eastAsia="Times New Roman" w:hAnsi="Calibri" w:cs="Times New Roman"/>
          <w:lang w:eastAsia="fr-FR"/>
        </w:rPr>
      </w:pPr>
    </w:p>
    <w:tbl>
      <w:tblPr>
        <w:tblpPr w:leftFromText="141" w:rightFromText="141" w:vertAnchor="text" w:horzAnchor="margin" w:tblpXSpec="center" w:tblpY="-384"/>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auto"/>
            <w:vAlign w:val="center"/>
          </w:tcPr>
          <w:p>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468"/>
        <w:gridCol w:w="37"/>
        <w:gridCol w:w="37"/>
        <w:gridCol w:w="24"/>
        <w:gridCol w:w="14"/>
        <w:gridCol w:w="980"/>
      </w:tblGrid>
      <w:tr>
        <w:trPr>
          <w:trHeight w:val="586"/>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8" w:name="__UnoMark__748_2749759877"/>
            <w:bookmarkEnd w:id="18"/>
            <w:r>
              <w:rPr>
                <w:rFonts w:eastAsia="Times New Roman" w:cs="Calibri"/>
                <w:lang w:eastAsia="fr-FR"/>
              </w:rPr>
              <w:t xml:space="preserve">Niveau  </w:t>
            </w:r>
          </w:p>
          <w:p>
            <w:pPr>
              <w:tabs>
                <w:tab w:val="left" w:pos="1985"/>
              </w:tabs>
              <w:spacing w:after="0" w:line="240" w:lineRule="auto"/>
              <w:jc w:val="center"/>
            </w:pPr>
            <w:r>
              <w:rPr>
                <w:rFonts w:eastAsia="Times New Roman" w:cs="Calibri"/>
                <w:lang w:eastAsia="fr-FR"/>
              </w:rPr>
              <w:t>attendu en:</w:t>
            </w:r>
            <w:bookmarkStart w:id="19" w:name="__UnoMark__749_2749759877"/>
            <w:bookmarkEnd w:id="19"/>
          </w:p>
        </w:tc>
      </w:tr>
      <w:tr>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566"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2" w:name="__UnoMark__752_2749759877"/>
            <w:bookmarkEnd w:id="22"/>
            <w:r>
              <w:rPr>
                <w:rFonts w:eastAsia="Times New Roman" w:cs="Calibri"/>
                <w:lang w:eastAsia="fr-FR"/>
              </w:rPr>
              <w:t>Jury</w:t>
            </w:r>
            <w:bookmarkStart w:id="23" w:name="__UnoMark__753_2749759877"/>
            <w:bookmarkEnd w:id="23"/>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4" w:name="__UnoMark__754_2749759877"/>
            <w:bookmarkEnd w:id="24"/>
            <w:r>
              <w:rPr>
                <w:rFonts w:eastAsia="Times New Roman" w:cs="Calibri"/>
                <w:lang w:eastAsia="fr-FR"/>
              </w:rPr>
              <w:t>Fonction</w:t>
            </w:r>
            <w:bookmarkStart w:id="25" w:name="__UnoMark__755_2749759877"/>
            <w:bookmarkEnd w:id="25"/>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28" w:name="__UnoMark__758_2749759877"/>
            <w:bookmarkEnd w:id="28"/>
            <w:r>
              <w:rPr>
                <w:rFonts w:eastAsia="Times New Roman" w:cs="Times New Roman"/>
                <w:lang w:eastAsia="fr-FR"/>
              </w:rPr>
              <w:t xml:space="preserve">Avoir la capacité de lire et comprendre un texte juridique. </w:t>
            </w:r>
            <w:bookmarkStart w:id="29" w:name="__UnoMark__759_2749759877"/>
            <w:bookmarkEnd w:id="29"/>
          </w:p>
        </w:tc>
        <w:tc>
          <w:tcPr>
            <w:tcW w:w="580"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0" w:name="__UnoMark__760_2749759877"/>
            <w:bookmarkEnd w:id="30"/>
            <w:r>
              <w:rPr>
                <w:rFonts w:eastAsia="Times New Roman" w:cs="Calibri"/>
                <w:lang w:eastAsia="fr-FR"/>
              </w:rPr>
              <w:t xml:space="preserve">B </w:t>
            </w:r>
            <w:bookmarkStart w:id="31" w:name="__UnoMark__761_2749759877"/>
            <w:bookmarkEnd w:id="31"/>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2" w:name="__UnoMark__762_2749759877"/>
            <w:bookmarkEnd w:id="32"/>
            <w:r>
              <w:rPr>
                <w:rFonts w:eastAsia="Times New Roman" w:cs="Calibri"/>
                <w:lang w:eastAsia="fr-FR"/>
              </w:rPr>
              <w:t>C</w:t>
            </w:r>
            <w:bookmarkStart w:id="33" w:name="__UnoMark__763_2749759877"/>
            <w:bookmarkEnd w:id="33"/>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34" w:name="__UnoMark__764_2749759877"/>
            <w:bookmarkEnd w:id="34"/>
            <w:r>
              <w:rPr>
                <w:rFonts w:eastAsia="Times New Roman" w:cs="Calibri"/>
                <w:b/>
                <w:lang w:eastAsia="fr-FR"/>
              </w:rPr>
              <w:t>Pédagogique</w:t>
            </w:r>
            <w:bookmarkStart w:id="35" w:name="__UnoMark__765_2749759877"/>
            <w:bookmarkEnd w:id="35"/>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36" w:name="__UnoMark__766_2749759877"/>
            <w:bookmarkEnd w:id="36"/>
            <w:r>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8" w:name="__UnoMark__768_2749759877"/>
            <w:bookmarkEnd w:id="38"/>
            <w:r>
              <w:rPr>
                <w:rFonts w:eastAsia="Times New Roman" w:cs="Calibri"/>
                <w:lang w:eastAsia="fr-FR"/>
              </w:rPr>
              <w:t xml:space="preserve">C </w:t>
            </w:r>
            <w:bookmarkStart w:id="39" w:name="__UnoMark__769_2749759877"/>
            <w:bookmarkEnd w:id="39"/>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0" w:name="__UnoMark__770_2749759877"/>
            <w:bookmarkEnd w:id="40"/>
            <w:r>
              <w:rPr>
                <w:rFonts w:eastAsia="Times New Roman" w:cs="Calibri"/>
                <w:lang w:eastAsia="fr-FR"/>
              </w:rPr>
              <w:t>D</w:t>
            </w:r>
            <w:bookmarkStart w:id="41" w:name="__UnoMark__771_2749759877"/>
            <w:bookmarkEnd w:id="41"/>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42" w:name="__UnoMark__772_2749759877"/>
            <w:bookmarkEnd w:id="42"/>
            <w:r>
              <w:rPr>
                <w:rFonts w:eastAsia="Times New Roman" w:cs="Calibri"/>
                <w:b/>
                <w:lang w:eastAsia="fr-FR"/>
              </w:rPr>
              <w:t>Numérique</w:t>
            </w:r>
            <w:bookmarkStart w:id="43" w:name="__UnoMark__773_2749759877"/>
            <w:bookmarkEnd w:id="43"/>
          </w:p>
        </w:tc>
      </w:tr>
      <w:tr>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44" w:name="__UnoMark__774_2749759877"/>
            <w:bookmarkEnd w:id="44"/>
            <w:r>
              <w:rPr>
                <w:rFonts w:eastAsia="Times New Roman" w:cs="Calibri"/>
                <w:color w:val="000000"/>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6" w:name="__UnoMark__776_2749759877"/>
            <w:bookmarkEnd w:id="46"/>
            <w:r>
              <w:rPr>
                <w:rFonts w:eastAsia="Times New Roman" w:cs="Calibri"/>
                <w:lang w:eastAsia="fr-FR"/>
              </w:rPr>
              <w:t xml:space="preserve">B </w:t>
            </w:r>
            <w:bookmarkStart w:id="47" w:name="__UnoMark__777_2749759877"/>
            <w:bookmarkEnd w:id="47"/>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8" w:name="__UnoMark__778_2749759877"/>
            <w:bookmarkEnd w:id="48"/>
            <w:r>
              <w:rPr>
                <w:rFonts w:eastAsia="Times New Roman" w:cs="Calibri"/>
                <w:lang w:eastAsia="fr-FR"/>
              </w:rPr>
              <w:t>C</w:t>
            </w:r>
            <w:bookmarkStart w:id="49" w:name="__UnoMark__779_2749759877"/>
            <w:bookmarkEnd w:id="49"/>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50" w:name="__UnoMark__780_2749759877"/>
            <w:bookmarkEnd w:id="50"/>
            <w:r>
              <w:rPr>
                <w:rFonts w:eastAsia="Times New Roman" w:cs="Calibri"/>
                <w:b/>
                <w:lang w:eastAsia="fr-FR"/>
              </w:rPr>
              <w:t xml:space="preserve">Méthodologie </w:t>
            </w:r>
            <w:bookmarkStart w:id="51" w:name="__UnoMark__781_2749759877"/>
            <w:bookmarkEnd w:id="51"/>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2" w:name="__UnoMark__782_2749759877"/>
            <w:bookmarkEnd w:id="52"/>
            <w:r>
              <w:rPr>
                <w:rFonts w:eastAsia="Times New Roman" w:cs="Calibri"/>
                <w:color w:val="000000"/>
                <w:lang w:eastAsia="fr-FR"/>
              </w:rPr>
              <w:t>Être capable de gérer des réunions.</w:t>
            </w:r>
            <w:bookmarkStart w:id="53" w:name="__UnoMark__783_2749759877"/>
            <w:bookmarkEnd w:id="53"/>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4" w:name="__UnoMark__784_2749759877"/>
            <w:bookmarkEnd w:id="54"/>
            <w:r>
              <w:rPr>
                <w:rFonts w:eastAsia="Times New Roman" w:cs="Calibri"/>
                <w:lang w:eastAsia="fr-FR"/>
              </w:rPr>
              <w:t xml:space="preserve">C </w:t>
            </w:r>
            <w:bookmarkStart w:id="55" w:name="__UnoMark__785_2749759877"/>
            <w:bookmarkEnd w:id="55"/>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6" w:name="__UnoMark__786_2749759877"/>
            <w:bookmarkEnd w:id="56"/>
            <w:r>
              <w:rPr>
                <w:rFonts w:eastAsia="Times New Roman" w:cs="Calibri"/>
                <w:lang w:eastAsia="fr-FR"/>
              </w:rPr>
              <w:t>D</w:t>
            </w:r>
            <w:bookmarkStart w:id="57" w:name="__UnoMark__787_2749759877"/>
            <w:bookmarkEnd w:id="5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8" w:name="__UnoMark__788_2749759877"/>
            <w:bookmarkEnd w:id="58"/>
            <w:r>
              <w:rPr>
                <w:rFonts w:eastAsia="Times New Roman" w:cs="Calibri"/>
                <w:color w:val="000000"/>
                <w:lang w:eastAsia="fr-FR"/>
              </w:rPr>
              <w:t>Être capable de gérer des conflits.</w:t>
            </w:r>
            <w:bookmarkStart w:id="59" w:name="__UnoMark__789_2749759877"/>
            <w:bookmarkEnd w:id="59"/>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0" w:name="__UnoMark__790_2749759877"/>
            <w:bookmarkEnd w:id="60"/>
            <w:r>
              <w:rPr>
                <w:rFonts w:eastAsia="Times New Roman" w:cs="Calibri"/>
                <w:lang w:eastAsia="fr-FR"/>
              </w:rPr>
              <w:t xml:space="preserve">C </w:t>
            </w:r>
            <w:bookmarkStart w:id="61" w:name="__UnoMark__791_2749759877"/>
            <w:bookmarkEnd w:id="61"/>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2" w:name="__UnoMark__792_2749759877"/>
            <w:bookmarkEnd w:id="62"/>
            <w:r>
              <w:rPr>
                <w:rFonts w:eastAsia="Times New Roman" w:cs="Calibri"/>
                <w:lang w:eastAsia="fr-FR"/>
              </w:rPr>
              <w:t>D</w:t>
            </w:r>
            <w:bookmarkStart w:id="63" w:name="__UnoMark__793_2749759877"/>
            <w:bookmarkEnd w:id="63"/>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64" w:name="__UnoMark__794_2749759877"/>
            <w:bookmarkEnd w:id="64"/>
            <w:r>
              <w:rPr>
                <w:rFonts w:eastAsia="Times New Roman" w:cs="Calibri"/>
                <w:b/>
                <w:lang w:eastAsia="fr-FR"/>
              </w:rPr>
              <w:t>Métier</w:t>
            </w:r>
            <w:bookmarkStart w:id="65" w:name="__UnoMark__795_2749759877"/>
            <w:bookmarkEnd w:id="65"/>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66" w:name="__UnoMark__796_2749759877"/>
            <w:bookmarkStart w:id="67" w:name="__UnoMark__802_2749759877"/>
            <w:bookmarkEnd w:id="66"/>
            <w:bookmarkEnd w:id="67"/>
            <w:r>
              <w:rPr>
                <w:rFonts w:eastAsia="Times New Roman" w:cs="Calibri"/>
                <w:color w:val="000000"/>
                <w:lang w:eastAsia="fr-FR"/>
              </w:rPr>
              <w:t>Avoir des compétences en gestion administrative, financière et matérielle de l’établissement.</w:t>
            </w:r>
            <w:bookmarkStart w:id="68" w:name="__UnoMark__803_2749759877"/>
            <w:bookmarkEnd w:id="68"/>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9" w:name="__UnoMark__804_2749759877"/>
            <w:bookmarkEnd w:id="69"/>
            <w:r>
              <w:rPr>
                <w:rFonts w:eastAsia="Times New Roman" w:cs="Calibri"/>
                <w:lang w:eastAsia="fr-FR"/>
              </w:rPr>
              <w:t>B</w:t>
            </w:r>
            <w:bookmarkStart w:id="70" w:name="__UnoMark__805_2749759877"/>
            <w:bookmarkEnd w:id="70"/>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1" w:name="__UnoMark__806_2749759877"/>
            <w:bookmarkEnd w:id="71"/>
            <w:r>
              <w:rPr>
                <w:rFonts w:eastAsia="Times New Roman" w:cs="Calibri"/>
                <w:lang w:eastAsia="fr-FR"/>
              </w:rPr>
              <w:t>C</w:t>
            </w:r>
            <w:bookmarkStart w:id="72" w:name="__UnoMark__807_2749759877"/>
            <w:bookmarkEnd w:id="72"/>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3" w:name="__UnoMark__808_2749759877"/>
            <w:bookmarkEnd w:id="73"/>
            <w:r>
              <w:rPr>
                <w:rFonts w:eastAsia="Times New Roman" w:cs="Calibri"/>
                <w:color w:val="000000"/>
                <w:lang w:eastAsia="fr-FR"/>
              </w:rPr>
              <w:t>Avoir des compétences de gestion de l’infrastructure de l'école.</w:t>
            </w:r>
            <w:bookmarkStart w:id="74" w:name="__UnoMark__809_2749759877"/>
            <w:bookmarkEnd w:id="74"/>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5" w:name="__UnoMark__810_2749759877"/>
            <w:bookmarkEnd w:id="75"/>
            <w:r>
              <w:rPr>
                <w:rFonts w:eastAsia="Times New Roman" w:cs="Calibri"/>
                <w:lang w:eastAsia="fr-FR"/>
              </w:rPr>
              <w:t xml:space="preserve">B </w:t>
            </w:r>
            <w:bookmarkStart w:id="76" w:name="__UnoMark__811_2749759877"/>
            <w:bookmarkEnd w:id="76"/>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7" w:name="__UnoMark__812_2749759877"/>
            <w:bookmarkEnd w:id="77"/>
            <w:r>
              <w:rPr>
                <w:rFonts w:eastAsia="Times New Roman" w:cs="Calibri"/>
                <w:lang w:eastAsia="fr-FR"/>
              </w:rPr>
              <w:t>C</w:t>
            </w:r>
            <w:bookmarkStart w:id="78" w:name="__UnoMark__813_2749759877"/>
            <w:bookmarkEnd w:id="78"/>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9" w:name="__UnoMark__814_2749759877"/>
            <w:bookmarkEnd w:id="79"/>
            <w:r>
              <w:rPr>
                <w:rFonts w:eastAsia="Times New Roman" w:cs="Calibri"/>
                <w:color w:val="000000"/>
                <w:lang w:eastAsia="fr-FR"/>
              </w:rPr>
              <w:t xml:space="preserve">Avoir des compétences de gestion des ressources financières. </w:t>
            </w:r>
            <w:bookmarkStart w:id="80" w:name="__UnoMark__815_2749759877"/>
            <w:bookmarkEnd w:id="80"/>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1" w:name="__UnoMark__816_2749759877"/>
            <w:bookmarkEnd w:id="81"/>
            <w:r>
              <w:rPr>
                <w:rFonts w:eastAsia="Times New Roman" w:cs="Calibri"/>
                <w:lang w:eastAsia="fr-FR"/>
              </w:rPr>
              <w:t xml:space="preserve">B </w:t>
            </w:r>
            <w:bookmarkStart w:id="82" w:name="__UnoMark__817_2749759877"/>
            <w:bookmarkEnd w:id="82"/>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3" w:name="__UnoMark__818_2749759877"/>
            <w:bookmarkEnd w:id="83"/>
            <w:r>
              <w:rPr>
                <w:rFonts w:eastAsia="Times New Roman" w:cs="Calibri"/>
                <w:lang w:eastAsia="fr-FR"/>
              </w:rPr>
              <w:t>C</w:t>
            </w:r>
            <w:bookmarkStart w:id="84" w:name="__UnoMark__819_2749759877"/>
            <w:bookmarkEnd w:id="84"/>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5" w:name="__UnoMark__820_2749759877"/>
            <w:bookmarkEnd w:id="85"/>
            <w:r>
              <w:rPr>
                <w:rFonts w:eastAsia="Times New Roman" w:cs="Calibri"/>
                <w:color w:val="000000"/>
                <w:lang w:eastAsia="fr-FR"/>
              </w:rPr>
              <w:t xml:space="preserve">Avoir des compétences en gestion des ressources humaines. </w:t>
            </w:r>
            <w:bookmarkStart w:id="86" w:name="__UnoMark__821_2749759877"/>
            <w:bookmarkEnd w:id="86"/>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7" w:name="__UnoMark__822_2749759877"/>
            <w:bookmarkEnd w:id="87"/>
            <w:r>
              <w:rPr>
                <w:rFonts w:eastAsia="Times New Roman" w:cs="Calibri"/>
                <w:lang w:eastAsia="fr-FR"/>
              </w:rPr>
              <w:t>B</w:t>
            </w:r>
            <w:bookmarkStart w:id="88" w:name="__UnoMark__823_2749759877"/>
            <w:bookmarkEnd w:id="88"/>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9" w:name="__UnoMark__824_2749759877"/>
            <w:bookmarkEnd w:id="89"/>
            <w:r>
              <w:rPr>
                <w:rFonts w:eastAsia="Times New Roman" w:cs="Calibri"/>
                <w:lang w:eastAsia="fr-FR"/>
              </w:rPr>
              <w:t>C</w:t>
            </w:r>
            <w:bookmarkStart w:id="90" w:name="__UnoMark__825_2749759877"/>
            <w:bookmarkEnd w:id="90"/>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91" w:name="__UnoMark__826_2749759877"/>
            <w:bookmarkEnd w:id="91"/>
            <w:r>
              <w:rPr>
                <w:rFonts w:eastAsia="Times New Roman" w:cs="Calibri"/>
                <w:b/>
                <w:lang w:eastAsia="fr-FR"/>
              </w:rPr>
              <w:t>Communication</w:t>
            </w:r>
            <w:bookmarkStart w:id="92" w:name="__UnoMark__827_2749759877"/>
            <w:bookmarkEnd w:id="92"/>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3" w:name="__UnoMark__828_2749759877"/>
            <w:bookmarkEnd w:id="93"/>
            <w:r>
              <w:rPr>
                <w:rFonts w:eastAsia="Times New Roman" w:cs="Calibri"/>
                <w:lang w:eastAsia="fr-FR"/>
              </w:rPr>
              <w:t xml:space="preserve">Maitriser les techniques de la communication écrite. </w:t>
            </w:r>
            <w:bookmarkStart w:id="94" w:name="__UnoMark__829_2749759877"/>
            <w:bookmarkEnd w:id="94"/>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5" w:name="__UnoMark__830_2749759877"/>
            <w:bookmarkEnd w:id="95"/>
            <w:r>
              <w:rPr>
                <w:rFonts w:eastAsia="Times New Roman" w:cs="Calibri"/>
                <w:lang w:eastAsia="fr-FR"/>
              </w:rPr>
              <w:t>C</w:t>
            </w:r>
            <w:bookmarkStart w:id="96" w:name="__UnoMark__831_2749759877"/>
            <w:bookmarkEnd w:id="96"/>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7" w:name="__UnoMark__832_2749759877"/>
            <w:bookmarkEnd w:id="97"/>
            <w:r>
              <w:rPr>
                <w:rFonts w:eastAsia="Times New Roman" w:cs="Calibri"/>
                <w:lang w:eastAsia="fr-FR"/>
              </w:rPr>
              <w:t>D</w:t>
            </w:r>
            <w:bookmarkStart w:id="98" w:name="__UnoMark__833_2749759877"/>
            <w:bookmarkEnd w:id="98"/>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9" w:name="__UnoMark__834_2749759877"/>
            <w:bookmarkEnd w:id="99"/>
            <w:r>
              <w:rPr>
                <w:rFonts w:eastAsia="Times New Roman" w:cs="Calibri"/>
                <w:lang w:eastAsia="fr-FR"/>
              </w:rPr>
              <w:t xml:space="preserve">Maitriser les techniques de la communication orale. </w:t>
            </w:r>
            <w:bookmarkStart w:id="100" w:name="__UnoMark__835_2749759877"/>
            <w:bookmarkEnd w:id="100"/>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1" w:name="__UnoMark__836_2749759877"/>
            <w:bookmarkEnd w:id="101"/>
            <w:r>
              <w:rPr>
                <w:rFonts w:eastAsia="Times New Roman" w:cs="Calibri"/>
                <w:lang w:eastAsia="fr-FR"/>
              </w:rPr>
              <w:t xml:space="preserve">C  </w:t>
            </w:r>
            <w:bookmarkStart w:id="102" w:name="__UnoMark__837_2749759877"/>
            <w:bookmarkEnd w:id="102"/>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3" w:name="__UnoMark__838_2749759877"/>
            <w:bookmarkEnd w:id="103"/>
            <w:r>
              <w:rPr>
                <w:rFonts w:eastAsia="Times New Roman"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tc>
      </w:tr>
      <w:tr>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en : </w:t>
            </w:r>
          </w:p>
        </w:tc>
      </w:tr>
      <w:tr>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Fonction</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cs="Calibri"/>
                <w:lang w:val="fr-FR"/>
              </w:rPr>
              <w:t>Fournir des conseils à ses interlocuteurs et développer avec eux une relation de confiance basée sur ses expertises.</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rPr>
                <w:rFonts w:ascii="Calibri" w:hAnsi="Calibri" w:cs="Calibri"/>
                <w:color w:val="ED7D31"/>
              </w:rPr>
            </w:pPr>
            <w:r>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pPr>
        <w:shd w:val="clear" w:color="auto" w:fill="001D77"/>
        <w:spacing w:after="160" w:line="259" w:lineRule="auto"/>
        <w:jc w:val="center"/>
        <w:rPr>
          <w:rFonts w:cstheme="minorHAnsi"/>
          <w:sz w:val="28"/>
        </w:rPr>
      </w:pPr>
      <w:r>
        <w:rPr>
          <w:rFonts w:cstheme="minorHAnsi"/>
          <w:i/>
          <w:sz w:val="28"/>
        </w:rPr>
        <w:t>Compétences investiguées lors du Jury</w:t>
      </w:r>
    </w:p>
    <w:p>
      <w:pPr>
        <w:spacing w:after="160" w:line="259" w:lineRule="auto"/>
        <w:rPr>
          <w:rFonts w:cstheme="minorHAnsi"/>
        </w:rPr>
      </w:pPr>
      <w:r>
        <w:rPr>
          <w:rFonts w:cstheme="minorHAnsi"/>
        </w:rPr>
        <w:t xml:space="preserve">Voici un récapitulatif des compétences qui seront investiguées à l’entretien: </w:t>
      </w:r>
    </w:p>
    <w:tbl>
      <w:tblPr>
        <w:tblpPr w:leftFromText="141" w:rightFromText="141" w:vertAnchor="page" w:horzAnchor="margin" w:tblpY="3037"/>
        <w:tblW w:w="9067" w:type="dxa"/>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pPr>
        <w:jc w:val="both"/>
        <w:rPr>
          <w:rFonts w:cs="Arial"/>
          <w:b/>
          <w:szCs w:val="20"/>
        </w:rPr>
      </w:pPr>
      <w:r>
        <w:rPr>
          <w:rFonts w:cs="Arial"/>
          <w:b/>
          <w:szCs w:val="20"/>
        </w:rPr>
        <w:t>Il faut minimum 60% des points pour figurer dans le classement des lauréats potentiels (minimum de 60/100) soit : 81/135.</w:t>
      </w:r>
    </w:p>
    <w:p>
      <w:pPr>
        <w:tabs>
          <w:tab w:val="left" w:pos="3705"/>
        </w:tabs>
        <w:jc w:val="both"/>
        <w:rPr>
          <w:rFonts w:cs="Times New Roman"/>
        </w:rPr>
      </w:pPr>
      <w:r>
        <w:t xml:space="preserve">Le classement des lauréats sera établi sur base des résultats obtenus lors du jury. A égalité de points, la priorité sera donnée à la personne ayant obtenu le plus grand nombre de points à la partie « Souder des équipes </w:t>
      </w:r>
      <w:r>
        <w:rPr>
          <w:rFonts w:eastAsia="Times New Roman"/>
          <w:lang w:eastAsia="fr-FR"/>
        </w:rPr>
        <w:t>».</w:t>
      </w:r>
      <w:r>
        <w:t>  Si pour cette partie, des personnes ont des points égaux, leur classement sera établi de manière aléatoire.</w:t>
      </w:r>
    </w:p>
    <w:p>
      <w:pPr>
        <w:tabs>
          <w:tab w:val="left" w:pos="3705"/>
        </w:tabs>
        <w:jc w:val="both"/>
      </w:pPr>
    </w:p>
    <w:sectPr>
      <w:headerReference w:type="default" r:id="rId21"/>
      <w:footerReference w:type="default" r:id="rId22"/>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496024669"/>
      <w:docPartObj>
        <w:docPartGallery w:val="Page Numbers (Bottom of Page)"/>
        <w:docPartUnique/>
      </w:docPartObj>
    </w:sdtPr>
    <w:sdtContent>
      <w:sdt>
        <w:sdtPr>
          <w:rPr>
            <w:sz w:val="18"/>
            <w:szCs w:val="18"/>
          </w:rPr>
          <w:id w:val="1271898716"/>
          <w:docPartObj>
            <w:docPartGallery w:val="Page Numbers (Top of Page)"/>
            <w:docPartUnique/>
          </w:docPartObj>
        </w:sdtPr>
        <w:sdtContent>
          <w:p>
            <w:pPr>
              <w:pStyle w:val="Pieddepage"/>
              <w:jc w:val="right"/>
              <w:rPr>
                <w:sz w:val="18"/>
                <w:szCs w:val="18"/>
              </w:rPr>
            </w:pPr>
            <w:r>
              <w:rPr>
                <w:noProof/>
                <w:lang w:eastAsia="fr-BE"/>
              </w:rPr>
              <w:drawing>
                <wp:anchor distT="0" distB="0" distL="0" distR="0" simplePos="0" relativeHeight="251661312" behindDoc="1" locked="0" layoutInCell="1" allowOverlap="1">
                  <wp:simplePos x="0" y="0"/>
                  <wp:positionH relativeFrom="margin">
                    <wp:align>center</wp:align>
                  </wp:positionH>
                  <wp:positionV relativeFrom="paragraph">
                    <wp:posOffset>-452950</wp:posOffset>
                  </wp:positionV>
                  <wp:extent cx="593725" cy="672465"/>
                  <wp:effectExtent l="0" t="0" r="0" b="0"/>
                  <wp:wrapNone/>
                  <wp:docPr id="19"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7</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16</w:t>
            </w:r>
            <w:r>
              <w:rPr>
                <w:bCs/>
                <w:sz w:val="18"/>
                <w:szCs w:val="18"/>
              </w:rPr>
              <w:fldChar w:fldCharType="end"/>
            </w:r>
          </w:p>
        </w:sdtContent>
      </w:sdt>
    </w:sdtContent>
  </w:sdt>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10" behindDoc="1" locked="0" layoutInCell="1" allowOverlap="1">
          <wp:simplePos x="0" y="0"/>
          <wp:positionH relativeFrom="margin">
            <wp:posOffset>2779766</wp:posOffset>
          </wp:positionH>
          <wp:positionV relativeFrom="paragraph">
            <wp:posOffset>-573741</wp:posOffset>
          </wp:positionV>
          <wp:extent cx="593725" cy="672465"/>
          <wp:effectExtent l="0" t="0" r="0" b="0"/>
          <wp:wrapNone/>
          <wp:docPr id="18"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053535555"/>
      <w:docPartObj>
        <w:docPartGallery w:val="Page Numbers (Bottom of Page)"/>
        <w:docPartUnique/>
      </w:docPartObj>
    </w:sdtPr>
    <w:sdtContent>
      <w:sdt>
        <w:sdtPr>
          <w:rPr>
            <w:sz w:val="18"/>
            <w:szCs w:val="18"/>
          </w:rPr>
          <w:id w:val="-1769616900"/>
          <w:docPartObj>
            <w:docPartGallery w:val="Page Numbers (Top of Page)"/>
            <w:docPartUnique/>
          </w:docPartObj>
        </w:sdtPr>
        <w:sdtContent>
          <w:p>
            <w:pPr>
              <w:pStyle w:val="Pieddepage"/>
              <w:jc w:val="right"/>
              <w:rPr>
                <w:sz w:val="18"/>
                <w:szCs w:val="18"/>
              </w:rPr>
            </w:pPr>
            <w:r>
              <w:rPr>
                <w:noProof/>
                <w:lang w:eastAsia="fr-BE"/>
              </w:rPr>
              <w:drawing>
                <wp:anchor distT="0" distB="0" distL="0" distR="0" simplePos="0" relativeHeight="251659264" behindDoc="1" locked="0" layoutInCell="1" allowOverlap="1">
                  <wp:simplePos x="0" y="0"/>
                  <wp:positionH relativeFrom="margin">
                    <wp:align>center</wp:align>
                  </wp:positionH>
                  <wp:positionV relativeFrom="paragraph">
                    <wp:posOffset>-586789</wp:posOffset>
                  </wp:positionV>
                  <wp:extent cx="593725" cy="672465"/>
                  <wp:effectExtent l="0" t="0" r="0" b="0"/>
                  <wp:wrapNone/>
                  <wp:docPr id="6"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14</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16</w:t>
            </w:r>
            <w:r>
              <w:rPr>
                <w:bCs/>
                <w:sz w:val="18"/>
                <w:szCs w:val="18"/>
              </w:rPr>
              <w:fldChar w:fldCharType="end"/>
            </w:r>
          </w:p>
        </w:sdtContent>
      </w:sdt>
    </w:sdtContent>
  </w:sdt>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3" behindDoc="1" locked="0" layoutInCell="1" allowOverlap="1">
          <wp:simplePos x="0" y="0"/>
          <wp:positionH relativeFrom="margin">
            <wp:align>center</wp:align>
          </wp:positionH>
          <wp:positionV relativeFrom="paragraph">
            <wp:posOffset>-332740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Pr>
        <w:b/>
        <w:noProof/>
        <w:sz w:val="18"/>
      </w:rPr>
      <w:t>16</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Pr>
        <w:b/>
        <w:noProof/>
        <w:sz w:val="18"/>
      </w:rPr>
      <w:t>16</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noProof/>
        <w:lang w:eastAsia="fr-BE"/>
      </w:rPr>
      <w:drawing>
        <wp:anchor distT="0" distB="0" distL="0" distR="0" simplePos="0" relativeHeight="9" behindDoc="1" locked="0" layoutInCell="1" allowOverlap="1">
          <wp:simplePos x="0" y="0"/>
          <wp:positionH relativeFrom="margin">
            <wp:align>center</wp:align>
          </wp:positionH>
          <wp:positionV relativeFrom="paragraph">
            <wp:posOffset>-95250</wp:posOffset>
          </wp:positionV>
          <wp:extent cx="4919345" cy="1211580"/>
          <wp:effectExtent l="0" t="0" r="0" b="0"/>
          <wp:wrapNone/>
          <wp:docPr id="17"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1" w15:restartNumberingAfterBreak="0">
    <w:nsid w:val="3B9865C2"/>
    <w:multiLevelType w:val="hybridMultilevel"/>
    <w:tmpl w:val="A178F90A"/>
    <w:lvl w:ilvl="0" w:tplc="CA3C1562">
      <w:numFmt w:val="bullet"/>
      <w:lvlText w:val="-"/>
      <w:lvlJc w:val="left"/>
      <w:pPr>
        <w:ind w:left="290" w:hanging="360"/>
      </w:pPr>
      <w:rPr>
        <w:rFonts w:ascii="Calibri" w:eastAsia="Times New Roman" w:hAnsi="Calibri" w:cs="Calibri" w:hint="default"/>
      </w:rPr>
    </w:lvl>
    <w:lvl w:ilvl="1" w:tplc="080C0003" w:tentative="1">
      <w:start w:val="1"/>
      <w:numFmt w:val="bullet"/>
      <w:lvlText w:val="o"/>
      <w:lvlJc w:val="left"/>
      <w:pPr>
        <w:ind w:left="1010" w:hanging="360"/>
      </w:pPr>
      <w:rPr>
        <w:rFonts w:ascii="Courier New" w:hAnsi="Courier New" w:cs="Courier New" w:hint="default"/>
      </w:rPr>
    </w:lvl>
    <w:lvl w:ilvl="2" w:tplc="080C0005" w:tentative="1">
      <w:start w:val="1"/>
      <w:numFmt w:val="bullet"/>
      <w:lvlText w:val=""/>
      <w:lvlJc w:val="left"/>
      <w:pPr>
        <w:ind w:left="1730" w:hanging="360"/>
      </w:pPr>
      <w:rPr>
        <w:rFonts w:ascii="Wingdings" w:hAnsi="Wingdings" w:hint="default"/>
      </w:rPr>
    </w:lvl>
    <w:lvl w:ilvl="3" w:tplc="080C0001" w:tentative="1">
      <w:start w:val="1"/>
      <w:numFmt w:val="bullet"/>
      <w:lvlText w:val=""/>
      <w:lvlJc w:val="left"/>
      <w:pPr>
        <w:ind w:left="2450" w:hanging="360"/>
      </w:pPr>
      <w:rPr>
        <w:rFonts w:ascii="Symbol" w:hAnsi="Symbol" w:hint="default"/>
      </w:rPr>
    </w:lvl>
    <w:lvl w:ilvl="4" w:tplc="080C0003" w:tentative="1">
      <w:start w:val="1"/>
      <w:numFmt w:val="bullet"/>
      <w:lvlText w:val="o"/>
      <w:lvlJc w:val="left"/>
      <w:pPr>
        <w:ind w:left="3170" w:hanging="360"/>
      </w:pPr>
      <w:rPr>
        <w:rFonts w:ascii="Courier New" w:hAnsi="Courier New" w:cs="Courier New" w:hint="default"/>
      </w:rPr>
    </w:lvl>
    <w:lvl w:ilvl="5" w:tplc="080C0005" w:tentative="1">
      <w:start w:val="1"/>
      <w:numFmt w:val="bullet"/>
      <w:lvlText w:val=""/>
      <w:lvlJc w:val="left"/>
      <w:pPr>
        <w:ind w:left="3890" w:hanging="360"/>
      </w:pPr>
      <w:rPr>
        <w:rFonts w:ascii="Wingdings" w:hAnsi="Wingdings" w:hint="default"/>
      </w:rPr>
    </w:lvl>
    <w:lvl w:ilvl="6" w:tplc="080C0001" w:tentative="1">
      <w:start w:val="1"/>
      <w:numFmt w:val="bullet"/>
      <w:lvlText w:val=""/>
      <w:lvlJc w:val="left"/>
      <w:pPr>
        <w:ind w:left="4610" w:hanging="360"/>
      </w:pPr>
      <w:rPr>
        <w:rFonts w:ascii="Symbol" w:hAnsi="Symbol" w:hint="default"/>
      </w:rPr>
    </w:lvl>
    <w:lvl w:ilvl="7" w:tplc="080C0003" w:tentative="1">
      <w:start w:val="1"/>
      <w:numFmt w:val="bullet"/>
      <w:lvlText w:val="o"/>
      <w:lvlJc w:val="left"/>
      <w:pPr>
        <w:ind w:left="5330" w:hanging="360"/>
      </w:pPr>
      <w:rPr>
        <w:rFonts w:ascii="Courier New" w:hAnsi="Courier New" w:cs="Courier New" w:hint="default"/>
      </w:rPr>
    </w:lvl>
    <w:lvl w:ilvl="8" w:tplc="080C0005" w:tentative="1">
      <w:start w:val="1"/>
      <w:numFmt w:val="bullet"/>
      <w:lvlText w:val=""/>
      <w:lvlJc w:val="left"/>
      <w:pPr>
        <w:ind w:left="6050" w:hanging="360"/>
      </w:pPr>
      <w:rPr>
        <w:rFonts w:ascii="Wingdings" w:hAnsi="Wingdings" w:hint="default"/>
      </w:rPr>
    </w:lvl>
  </w:abstractNum>
  <w:abstractNum w:abstractNumId="2" w15:restartNumberingAfterBreak="0">
    <w:nsid w:val="4AE45015"/>
    <w:multiLevelType w:val="hybridMultilevel"/>
    <w:tmpl w:val="62F6EE26"/>
    <w:lvl w:ilvl="0" w:tplc="3C40BB6A">
      <w:numFmt w:val="bullet"/>
      <w:lvlText w:val=""/>
      <w:lvlJc w:val="left"/>
      <w:pPr>
        <w:ind w:left="720" w:hanging="360"/>
      </w:pPr>
      <w:rPr>
        <w:rFonts w:ascii="Symbol" w:eastAsia="Times New Roman" w:hAnsi="Symbol" w:cs="Century Schoolbook"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Pr>
      <w:vertAlign w:val="superscript"/>
    </w:rPr>
  </w:style>
  <w:style w:type="character" w:styleId="Marquedecommentaire">
    <w:name w:val="annotation reference"/>
    <w:basedOn w:val="Policepardfaut"/>
    <w:uiPriority w:val="99"/>
    <w:semiHidden/>
    <w:unhideWhenUsed/>
    <w:qFormat/>
    <w:rPr>
      <w:sz w:val="16"/>
      <w:szCs w:val="16"/>
    </w:rPr>
  </w:style>
  <w:style w:type="character" w:customStyle="1" w:styleId="En-tteCar">
    <w:name w:val="En-tête Car"/>
    <w:basedOn w:val="Policepardfaut"/>
    <w:uiPriority w:val="99"/>
    <w:qFormat/>
  </w:style>
  <w:style w:type="character" w:customStyle="1" w:styleId="PieddepageCar">
    <w:name w:val="Pied de page Car"/>
    <w:basedOn w:val="Policepardfaut"/>
    <w:link w:val="Pieddepage"/>
    <w:uiPriority w:val="99"/>
    <w:qFormat/>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Pr>
      <w:color w:val="0563C1" w:themeColor="hyperlink"/>
      <w:u w:val="single"/>
    </w:rPr>
  </w:style>
  <w:style w:type="character" w:styleId="lev">
    <w:name w:val="Strong"/>
    <w:basedOn w:val="Policepardfaut"/>
    <w:uiPriority w:val="22"/>
    <w:qFormat/>
    <w:rPr>
      <w:b/>
      <w:bCs/>
    </w:rPr>
  </w:style>
  <w:style w:type="character" w:customStyle="1" w:styleId="TitreCar">
    <w:name w:val="Titre Car"/>
    <w:basedOn w:val="Policepardfaut"/>
    <w:link w:val="Titre"/>
    <w:uiPriority w:val="10"/>
    <w:qFormat/>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pPr>
      <w:tabs>
        <w:tab w:val="center" w:pos="4536"/>
        <w:tab w:val="right" w:pos="9072"/>
      </w:tabs>
      <w:spacing w:after="0" w:line="240" w:lineRule="auto"/>
    </w:pPr>
  </w:style>
  <w:style w:type="paragraph" w:styleId="Pieddepage">
    <w:name w:val="footer"/>
    <w:basedOn w:val="Normal"/>
    <w:link w:val="PieddepageCar"/>
    <w:uiPriority w:val="99"/>
    <w:unhideWhenUsed/>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00922">
      <w:bodyDiv w:val="1"/>
      <w:marLeft w:val="0"/>
      <w:marRight w:val="0"/>
      <w:marTop w:val="0"/>
      <w:marBottom w:val="0"/>
      <w:divBdr>
        <w:top w:val="none" w:sz="0" w:space="0" w:color="auto"/>
        <w:left w:val="none" w:sz="0" w:space="0" w:color="auto"/>
        <w:bottom w:val="none" w:sz="0" w:space="0" w:color="auto"/>
        <w:right w:val="none" w:sz="0" w:space="0" w:color="auto"/>
      </w:divBdr>
    </w:div>
    <w:div w:id="17012738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b-e.be/jobs-carriere/evolution-de-carriere/emplois-vacants/"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mailto:selection.promotion@w-b-e.b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les.cfwb.be/eespcfmariembou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yperlink" Target="https://www.w-b-e.be/"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hyperlink" Target="mailto:selection.promotion@w-b-e.be"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AB2720-4464-4980-ADAE-73C5382AD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4228</Words>
  <Characters>23257</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27431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Primaire spécialisée</dc:creator>
  <dc:description/>
  <cp:lastModifiedBy>ETNIC</cp:lastModifiedBy>
  <cp:revision>2</cp:revision>
  <cp:lastPrinted>2020-11-12T10:05:00Z</cp:lastPrinted>
  <dcterms:created xsi:type="dcterms:W3CDTF">2020-11-13T10:10:00Z</dcterms:created>
  <dcterms:modified xsi:type="dcterms:W3CDTF">2020-11-13T10:10:00Z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